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C9815" w14:textId="1D7A87D4" w:rsidR="00BD24A7" w:rsidRPr="00BD24A7" w:rsidRDefault="00BD24A7" w:rsidP="00BD24A7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19"/>
      <w:r w:rsidRPr="00BD24A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#121</w:t>
      </w:r>
      <w:r w:rsidRPr="00BD24A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E01540" w:rsidRPr="00E01540">
        <w:rPr>
          <w:rFonts w:ascii="Arial" w:eastAsia="MS Mincho" w:hAnsi="Arial"/>
          <w:b/>
          <w:sz w:val="24"/>
          <w:szCs w:val="24"/>
          <w:lang w:val="de-DE" w:eastAsia="x-none"/>
        </w:rPr>
        <w:t>R2-2300345</w:t>
      </w:r>
    </w:p>
    <w:p w14:paraId="287319A6" w14:textId="4F33FE1D" w:rsidR="00BD24A7" w:rsidRPr="00BD24A7" w:rsidRDefault="00BD24A7" w:rsidP="00BD24A7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BD24A7">
        <w:rPr>
          <w:rFonts w:ascii="Arial" w:eastAsia="MS Mincho" w:hAnsi="Arial"/>
          <w:b/>
          <w:sz w:val="24"/>
          <w:szCs w:val="24"/>
          <w:lang w:val="de-DE" w:eastAsia="x-none"/>
        </w:rPr>
        <w:t xml:space="preserve">Athens, Greece, </w:t>
      </w:r>
      <w:r w:rsidR="005E21DD">
        <w:rPr>
          <w:rFonts w:ascii="Arial" w:eastAsia="MS Mincho" w:hAnsi="Arial"/>
          <w:b/>
          <w:sz w:val="24"/>
          <w:szCs w:val="24"/>
          <w:lang w:val="de-DE" w:eastAsia="x-none"/>
        </w:rPr>
        <w:t xml:space="preserve">27 </w:t>
      </w:r>
      <w:r w:rsidRPr="00BD24A7">
        <w:rPr>
          <w:rFonts w:ascii="Arial" w:eastAsia="MS Mincho" w:hAnsi="Arial"/>
          <w:b/>
          <w:sz w:val="24"/>
          <w:szCs w:val="24"/>
          <w:lang w:val="de-DE" w:eastAsia="x-none"/>
        </w:rPr>
        <w:t>February</w:t>
      </w:r>
      <w:r w:rsidR="005E21DD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3 </w:t>
      </w:r>
      <w:r w:rsidRPr="00BD24A7">
        <w:rPr>
          <w:rFonts w:ascii="Arial" w:eastAsia="MS Mincho" w:hAnsi="Arial"/>
          <w:b/>
          <w:sz w:val="24"/>
          <w:szCs w:val="24"/>
          <w:lang w:val="de-DE" w:eastAsia="x-none"/>
        </w:rPr>
        <w:t xml:space="preserve">March, </w:t>
      </w:r>
      <w:r w:rsidR="00AB65B5" w:rsidRPr="00BD24A7">
        <w:rPr>
          <w:rFonts w:ascii="Arial" w:eastAsia="MS Mincho" w:hAnsi="Arial"/>
          <w:b/>
          <w:sz w:val="24"/>
          <w:szCs w:val="24"/>
          <w:lang w:val="de-DE" w:eastAsia="x-none"/>
        </w:rPr>
        <w:t>202</w:t>
      </w:r>
      <w:r w:rsidR="00AB65B5"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</w:p>
    <w:bookmarkEnd w:id="0"/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51265EB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Discussion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Start w:id="1" w:name="_Hlk115182917"/>
      <w:r w:rsidR="005121CA">
        <w:rPr>
          <w:rFonts w:ascii="Arial" w:hAnsi="Arial" w:cs="Arial"/>
          <w:b/>
          <w:bCs/>
          <w:sz w:val="24"/>
          <w:szCs w:val="24"/>
          <w:lang w:val="en-US" w:eastAsia="en-US"/>
        </w:rPr>
        <w:t>p</w:t>
      </w:r>
      <w:bookmarkStart w:id="2" w:name="_GoBack"/>
      <w:bookmarkEnd w:id="2"/>
      <w:r w:rsidR="00BD24A7" w:rsidRPr="00BD24A7">
        <w:rPr>
          <w:rFonts w:ascii="Arial" w:hAnsi="Arial" w:cs="Arial"/>
          <w:b/>
          <w:bCs/>
          <w:sz w:val="24"/>
          <w:szCs w:val="24"/>
          <w:lang w:val="en-US" w:eastAsia="en-US"/>
        </w:rPr>
        <w:t>ower saving for NTN-TN mobility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1"/>
    </w:p>
    <w:p w14:paraId="638AB84F" w14:textId="564A8EF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>8.7.4</w:t>
      </w:r>
      <w:r w:rsidR="007A50B1">
        <w:rPr>
          <w:rFonts w:ascii="Arial" w:hAnsi="Arial" w:cs="Arial"/>
          <w:b/>
          <w:bCs/>
          <w:sz w:val="24"/>
          <w:szCs w:val="24"/>
          <w:lang w:val="en-US" w:eastAsia="en-US"/>
        </w:rPr>
        <w:t>.1</w:t>
      </w:r>
      <w:r w:rsidR="00BD24A7">
        <w:rPr>
          <w:rFonts w:ascii="Arial" w:hAnsi="Arial" w:cs="Arial"/>
          <w:b/>
          <w:bCs/>
          <w:sz w:val="24"/>
          <w:szCs w:val="24"/>
          <w:lang w:val="en-US" w:eastAsia="en-US"/>
        </w:rPr>
        <w:t>.1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3" w:name="_Ref165266342"/>
      <w:r w:rsidRPr="009674AC">
        <w:t>Introduction</w:t>
      </w:r>
      <w:bookmarkEnd w:id="3"/>
    </w:p>
    <w:p w14:paraId="02E1675F" w14:textId="5F317C07" w:rsidR="004C1978" w:rsidRDefault="001C6BCB" w:rsidP="004C1978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</w:t>
      </w:r>
      <w:r>
        <w:rPr>
          <w:rStyle w:val="a9"/>
          <w:rFonts w:ascii="Times New Roman" w:hAnsi="Times New Roman" w:hint="eastAsia"/>
        </w:rPr>
        <w:t>RAN2#</w:t>
      </w:r>
      <w:r>
        <w:rPr>
          <w:rStyle w:val="a9"/>
          <w:rFonts w:ascii="Times New Roman" w:hAnsi="Times New Roman"/>
        </w:rPr>
        <w:t>1</w:t>
      </w:r>
      <w:r w:rsidR="00012B33">
        <w:rPr>
          <w:rStyle w:val="a9"/>
          <w:rFonts w:ascii="Times New Roman" w:hAnsi="Times New Roman"/>
        </w:rPr>
        <w:t>20</w:t>
      </w:r>
      <w:r>
        <w:rPr>
          <w:rStyle w:val="a9"/>
          <w:rFonts w:ascii="Times New Roman" w:hAnsi="Times New Roman"/>
        </w:rPr>
        <w:t xml:space="preserve"> [1], the </w:t>
      </w:r>
      <w:r w:rsidR="008751FA">
        <w:rPr>
          <w:rStyle w:val="a9"/>
          <w:rFonts w:ascii="Times New Roman" w:hAnsi="Times New Roman"/>
        </w:rPr>
        <w:t>following</w:t>
      </w:r>
      <w:r>
        <w:rPr>
          <w:rStyle w:val="a9"/>
          <w:rFonts w:ascii="Times New Roman" w:hAnsi="Times New Roman"/>
        </w:rPr>
        <w:t xml:space="preserve"> agreements r</w:t>
      </w:r>
      <w:r w:rsidR="004C1978">
        <w:rPr>
          <w:rStyle w:val="a9"/>
          <w:rFonts w:ascii="Times New Roman" w:hAnsi="Times New Roman"/>
        </w:rPr>
        <w:t xml:space="preserve">egarding </w:t>
      </w:r>
      <w:r w:rsidR="00DC21C7">
        <w:rPr>
          <w:rFonts w:hint="eastAsia"/>
          <w:szCs w:val="22"/>
          <w:lang w:val="en-US"/>
        </w:rPr>
        <w:t>power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saving</w:t>
      </w:r>
      <w:r w:rsidR="00DC21C7">
        <w:rPr>
          <w:szCs w:val="22"/>
          <w:lang w:val="en-US"/>
        </w:rPr>
        <w:t xml:space="preserve"> </w:t>
      </w:r>
      <w:r w:rsidR="005E21DD">
        <w:rPr>
          <w:szCs w:val="22"/>
          <w:lang w:val="en-US"/>
        </w:rPr>
        <w:t xml:space="preserve">enhancements </w:t>
      </w:r>
      <w:r w:rsidR="00DC21C7">
        <w:rPr>
          <w:rFonts w:hint="eastAsia"/>
          <w:szCs w:val="22"/>
          <w:lang w:val="en-US"/>
        </w:rPr>
        <w:t>for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NTN-TN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mobility</w:t>
      </w:r>
      <w:r w:rsidR="00E65D23">
        <w:rPr>
          <w:rStyle w:val="a9"/>
          <w:rFonts w:ascii="Times New Roman" w:hAnsi="Times New Roman"/>
        </w:rPr>
        <w:t xml:space="preserve"> </w:t>
      </w:r>
      <w:r w:rsidR="004C1978">
        <w:rPr>
          <w:rStyle w:val="a9"/>
          <w:rFonts w:ascii="Times New Roman" w:hAnsi="Times New Roman"/>
        </w:rPr>
        <w:t>were achieved:</w:t>
      </w:r>
    </w:p>
    <w:p w14:paraId="54D76F96" w14:textId="77777777" w:rsidR="00DC21C7" w:rsidRPr="00DC21C7" w:rsidRDefault="00DC21C7" w:rsidP="00DC2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C21C7">
        <w:rPr>
          <w:rFonts w:ascii="Arial" w:eastAsia="MS Mincho" w:hAnsi="Arial"/>
          <w:sz w:val="20"/>
          <w:szCs w:val="24"/>
          <w:lang w:eastAsia="en-GB"/>
        </w:rPr>
        <w:t>Agreements:</w:t>
      </w:r>
    </w:p>
    <w:p w14:paraId="67E0A635" w14:textId="77777777" w:rsidR="00DC21C7" w:rsidRPr="00DC21C7" w:rsidRDefault="00DC21C7" w:rsidP="00DC21C7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C21C7">
        <w:rPr>
          <w:rFonts w:ascii="Arial" w:eastAsia="MS Mincho" w:hAnsi="Arial"/>
          <w:sz w:val="20"/>
          <w:szCs w:val="24"/>
          <w:lang w:eastAsia="en-GB"/>
        </w:rPr>
        <w:t>RAN2 will first continue the investigation on the details of the TN coverage data (e.g. accuracy requirements for describing where TN network(s) is/are available) and UE storage overhead before deciding how to send the information to the UE.</w:t>
      </w:r>
    </w:p>
    <w:p w14:paraId="30551B7E" w14:textId="77777777" w:rsidR="00DC21C7" w:rsidRPr="00DC21C7" w:rsidRDefault="00DC21C7" w:rsidP="00DC21C7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C21C7">
        <w:rPr>
          <w:rFonts w:ascii="Arial" w:eastAsia="MS Mincho" w:hAnsi="Arial"/>
          <w:sz w:val="20"/>
          <w:szCs w:val="24"/>
          <w:lang w:eastAsia="en-GB"/>
        </w:rPr>
        <w:t>Continue the discussion on whether to introduce explicit indication to identify TN cells from inter-frequency list and inter-RAT frequency list (FFS on the granularity) or whether we rely on implicit information.</w:t>
      </w:r>
    </w:p>
    <w:p w14:paraId="3A15105F" w14:textId="209CAE1C" w:rsidR="007460A6" w:rsidRPr="007460A6" w:rsidRDefault="007E1288" w:rsidP="00DC21C7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>n this contribution, we provide our analyses and proposals to resolve the remaining issues on</w:t>
      </w:r>
      <w:r w:rsidR="00DC21C7" w:rsidRPr="00DC21C7">
        <w:rPr>
          <w:rFonts w:hint="eastAsia"/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power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saving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for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NTN-TN</w:t>
      </w:r>
      <w:r w:rsidR="00DC21C7">
        <w:rPr>
          <w:szCs w:val="22"/>
          <w:lang w:val="en-US"/>
        </w:rPr>
        <w:t xml:space="preserve"> </w:t>
      </w:r>
      <w:r w:rsidR="00DC21C7">
        <w:rPr>
          <w:rFonts w:hint="eastAsia"/>
          <w:szCs w:val="22"/>
          <w:lang w:val="en-US"/>
        </w:rPr>
        <w:t>mobility</w:t>
      </w:r>
      <w:r w:rsidR="00DC21C7">
        <w:rPr>
          <w:szCs w:val="22"/>
          <w:lang w:val="en-US"/>
        </w:rPr>
        <w:t xml:space="preserve"> in </w:t>
      </w:r>
      <w:r w:rsidR="00BF01D3">
        <w:rPr>
          <w:szCs w:val="22"/>
          <w:lang w:val="en-US"/>
        </w:rPr>
        <w:t>IDLE</w:t>
      </w:r>
      <w:r w:rsidR="00DC21C7">
        <w:rPr>
          <w:rFonts w:hint="eastAsia"/>
          <w:szCs w:val="22"/>
          <w:lang w:val="en-US"/>
        </w:rPr>
        <w:t>/</w:t>
      </w:r>
      <w:r w:rsidR="00BF01D3">
        <w:rPr>
          <w:szCs w:val="22"/>
          <w:lang w:val="en-US"/>
        </w:rPr>
        <w:t>INACTIVE</w:t>
      </w:r>
      <w:r w:rsidR="00DC21C7">
        <w:rPr>
          <w:szCs w:val="22"/>
          <w:lang w:val="en-US"/>
        </w:rPr>
        <w:t xml:space="preserve"> mode.</w:t>
      </w:r>
    </w:p>
    <w:p w14:paraId="3C2FFF31" w14:textId="055B7692" w:rsidR="00686871" w:rsidRPr="00304AB3" w:rsidRDefault="00505CF9" w:rsidP="00BD24A7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  <w:rPr>
          <w:b/>
          <w:bCs/>
        </w:rPr>
      </w:pPr>
      <w:r w:rsidRPr="009674AC">
        <w:t>Discussion</w:t>
      </w:r>
    </w:p>
    <w:p w14:paraId="404EEAE2" w14:textId="2210FC7E" w:rsidR="00BB6275" w:rsidRDefault="00DC21C7" w:rsidP="00DC21C7">
      <w:r>
        <w:t xml:space="preserve">RAN2 has agreed that </w:t>
      </w:r>
      <w:r w:rsidR="00BF01D3">
        <w:t>“</w:t>
      </w:r>
      <w:r w:rsidR="00BF01D3" w:rsidRPr="000057E0">
        <w:rPr>
          <w:rFonts w:ascii="Arial" w:eastAsia="MS Mincho" w:hAnsi="Arial"/>
          <w:sz w:val="20"/>
          <w:szCs w:val="24"/>
          <w:lang w:eastAsia="en-GB"/>
        </w:rPr>
        <w:t>UE is not required to perform neighbour cell measurements for TN neighbour cells in an area where there is no TN network coverage</w:t>
      </w:r>
      <w:r w:rsidR="00BF01D3">
        <w:t>” in RAN2 #119bis-e [2]</w:t>
      </w:r>
      <w:r>
        <w:rPr>
          <w:rFonts w:ascii="Arial" w:eastAsiaTheme="minorEastAsia" w:hAnsi="Arial" w:hint="eastAsia"/>
          <w:sz w:val="20"/>
          <w:szCs w:val="24"/>
        </w:rPr>
        <w:t>.</w:t>
      </w:r>
      <w:r>
        <w:rPr>
          <w:rFonts w:ascii="Arial" w:eastAsiaTheme="minorEastAsia" w:hAnsi="Arial"/>
          <w:sz w:val="20"/>
          <w:szCs w:val="24"/>
        </w:rPr>
        <w:t xml:space="preserve"> </w:t>
      </w:r>
      <w:r w:rsidR="005F49CD">
        <w:t>R</w:t>
      </w:r>
      <w:r w:rsidR="005F49CD" w:rsidRPr="005F49CD">
        <w:t>eferring to the figure below,</w:t>
      </w:r>
      <w:r w:rsidR="005F49CD">
        <w:t xml:space="preserve"> i</w:t>
      </w:r>
      <w:r w:rsidR="00965B77">
        <w:t xml:space="preserve">n our understanding, </w:t>
      </w:r>
      <w:r w:rsidR="005F49CD" w:rsidRPr="005F49CD">
        <w:t xml:space="preserve">the </w:t>
      </w:r>
      <w:r w:rsidR="006D08CB">
        <w:t>situation</w:t>
      </w:r>
      <w:r w:rsidR="005F49CD" w:rsidRPr="005F49CD">
        <w:t xml:space="preserve"> described in the </w:t>
      </w:r>
      <w:r w:rsidR="005F49CD">
        <w:t>agreement is that</w:t>
      </w:r>
      <w:r w:rsidR="005F49CD" w:rsidRPr="005F49CD">
        <w:t xml:space="preserve"> for UE </w:t>
      </w:r>
      <w:r w:rsidR="005F49CD">
        <w:t>camping</w:t>
      </w:r>
      <w:r w:rsidR="005F49CD" w:rsidRPr="005F49CD">
        <w:t xml:space="preserve"> in </w:t>
      </w:r>
      <w:r w:rsidR="005F49CD">
        <w:t xml:space="preserve">an </w:t>
      </w:r>
      <w:r w:rsidR="005F49CD" w:rsidRPr="005F49CD">
        <w:t>NTN cell</w:t>
      </w:r>
      <w:r w:rsidR="005F49CD">
        <w:t xml:space="preserve"> and </w:t>
      </w:r>
      <w:r w:rsidR="00E74D1F">
        <w:t xml:space="preserve">the </w:t>
      </w:r>
      <w:r w:rsidR="005F49CD">
        <w:t xml:space="preserve">UE is not </w:t>
      </w:r>
      <w:r w:rsidR="00BF01D3">
        <w:t>with</w:t>
      </w:r>
      <w:r w:rsidR="005F49CD">
        <w:t>in</w:t>
      </w:r>
      <w:r w:rsidR="00BF01D3">
        <w:t xml:space="preserve">, or </w:t>
      </w:r>
      <w:r w:rsidR="00BB6275">
        <w:t>close</w:t>
      </w:r>
      <w:r w:rsidR="00BF01D3">
        <w:t xml:space="preserve"> to,</w:t>
      </w:r>
      <w:r w:rsidR="005F49CD">
        <w:t xml:space="preserve"> any TN network coverage</w:t>
      </w:r>
      <w:r w:rsidR="005F49CD" w:rsidRPr="005F49CD">
        <w:t xml:space="preserve"> </w:t>
      </w:r>
      <w:r w:rsidR="005F49CD">
        <w:t xml:space="preserve">(e.g., UE1 in figure </w:t>
      </w:r>
      <w:r>
        <w:t>1</w:t>
      </w:r>
      <w:r w:rsidR="005F49CD">
        <w:t xml:space="preserve">), </w:t>
      </w:r>
      <w:r w:rsidR="00E74D1F">
        <w:t>t</w:t>
      </w:r>
      <w:r w:rsidR="005F49CD" w:rsidRPr="005F49CD">
        <w:t xml:space="preserve">he </w:t>
      </w:r>
      <w:r w:rsidR="00E74D1F">
        <w:t>UE is not required to perform neighbo</w:t>
      </w:r>
      <w:r w:rsidR="00022714">
        <w:t>u</w:t>
      </w:r>
      <w:r w:rsidR="00E74D1F">
        <w:t xml:space="preserve">r cell </w:t>
      </w:r>
      <w:r w:rsidR="00E74D1F" w:rsidRPr="00E74D1F">
        <w:t xml:space="preserve">measurements for TN </w:t>
      </w:r>
      <w:r w:rsidR="00BE7BEB">
        <w:t>neighbour</w:t>
      </w:r>
      <w:r w:rsidR="00E74D1F" w:rsidRPr="00E74D1F">
        <w:t xml:space="preserve"> cells</w:t>
      </w:r>
      <w:r w:rsidR="00BB6275">
        <w:t xml:space="preserve"> and thus achieve</w:t>
      </w:r>
      <w:r w:rsidR="0070700D">
        <w:t xml:space="preserve"> power </w:t>
      </w:r>
      <w:r w:rsidR="00BB6275">
        <w:t>saving gain by disabling</w:t>
      </w:r>
      <w:r w:rsidR="0070700D">
        <w:t xml:space="preserve"> TN </w:t>
      </w:r>
      <w:r w:rsidR="00BE7BEB">
        <w:t>neighbour</w:t>
      </w:r>
      <w:r w:rsidR="0070700D">
        <w:t xml:space="preserve"> cell</w:t>
      </w:r>
      <w:r w:rsidR="000F2071">
        <w:t xml:space="preserve"> </w:t>
      </w:r>
      <w:r w:rsidR="00AB65B5">
        <w:t>measurements</w:t>
      </w:r>
      <w:r w:rsidR="00BB6275">
        <w:t>.</w:t>
      </w:r>
      <w:r w:rsidR="00D06C5F">
        <w:t xml:space="preserve"> </w:t>
      </w:r>
      <w:r w:rsidR="00BB6275">
        <w:t>B</w:t>
      </w:r>
      <w:r w:rsidR="00D06C5F">
        <w:t xml:space="preserve">ut for the UE that is </w:t>
      </w:r>
      <w:r w:rsidR="00BF01D3">
        <w:t xml:space="preserve">within or </w:t>
      </w:r>
      <w:r w:rsidR="00BB6275">
        <w:t>close</w:t>
      </w:r>
      <w:r w:rsidR="00BF01D3">
        <w:t xml:space="preserve"> to</w:t>
      </w:r>
      <w:r w:rsidR="00D06C5F">
        <w:t xml:space="preserve"> the TN area, </w:t>
      </w:r>
      <w:r w:rsidR="00395273">
        <w:t>UE may need to measure all the frequenc</w:t>
      </w:r>
      <w:r w:rsidR="00B95CD2">
        <w:t>ies</w:t>
      </w:r>
      <w:r w:rsidR="00BB2D5A">
        <w:t xml:space="preserve"> </w:t>
      </w:r>
      <w:r w:rsidR="00BB6275">
        <w:t xml:space="preserve">with TN cell deployments in the corresponding area, </w:t>
      </w:r>
      <w:r w:rsidR="00BB2D5A">
        <w:t>once the TN frequency measurement is init</w:t>
      </w:r>
      <w:r w:rsidR="00B95CD2">
        <w:t>ia</w:t>
      </w:r>
      <w:r w:rsidR="00BB2D5A">
        <w:t>ted</w:t>
      </w:r>
      <w:r w:rsidR="00B95CD2">
        <w:t xml:space="preserve">. </w:t>
      </w:r>
    </w:p>
    <w:p w14:paraId="26B90683" w14:textId="00B342D2" w:rsidR="001844E2" w:rsidRPr="00DC21C7" w:rsidRDefault="00BB6275" w:rsidP="00DC21C7">
      <w:pPr>
        <w:rPr>
          <w:rFonts w:ascii="Arial" w:eastAsia="MS Mincho" w:hAnsi="Arial"/>
          <w:sz w:val="20"/>
          <w:szCs w:val="24"/>
          <w:lang w:eastAsia="en-GB"/>
        </w:rPr>
      </w:pPr>
      <w:r>
        <w:t xml:space="preserve">It should be pointed out that, the above operation does not mean that the UE shall start measurement on all TN frequencies it supports, once it reaches/approaches the </w:t>
      </w:r>
      <w:r w:rsidR="00DA2AD8">
        <w:t xml:space="preserve">area with </w:t>
      </w:r>
      <w:r>
        <w:t xml:space="preserve">TN </w:t>
      </w:r>
      <w:r w:rsidR="00DA2AD8">
        <w:t>coverage</w:t>
      </w:r>
      <w:r w:rsidR="000F2071">
        <w:t xml:space="preserve">, as it is not guaranteed that the UE can find TN cell on whatever TN frequency it measures. </w:t>
      </w:r>
      <w:r>
        <w:t xml:space="preserve">This means, </w:t>
      </w:r>
      <w:r w:rsidR="000F2071">
        <w:t>to realize the power saving gain</w:t>
      </w:r>
      <w:r>
        <w:t xml:space="preserve"> via this NTN-TN mobility enhancement, </w:t>
      </w:r>
      <w:r w:rsidR="00073FE9">
        <w:t xml:space="preserve">the UE </w:t>
      </w:r>
      <w:r w:rsidR="00991187" w:rsidRPr="00991187">
        <w:t xml:space="preserve">in </w:t>
      </w:r>
      <w:r>
        <w:t xml:space="preserve">the </w:t>
      </w:r>
      <w:r w:rsidR="00991187" w:rsidRPr="00991187">
        <w:t xml:space="preserve">TN coverage </w:t>
      </w:r>
      <w:r>
        <w:t xml:space="preserve">on </w:t>
      </w:r>
      <w:r w:rsidR="00991187">
        <w:t>some frequencies</w:t>
      </w:r>
      <w:r w:rsidR="00AB65B5">
        <w:t xml:space="preserve"> </w:t>
      </w:r>
      <w:r>
        <w:t xml:space="preserve">should </w:t>
      </w:r>
      <w:r w:rsidR="00991187" w:rsidRPr="00991187">
        <w:t xml:space="preserve">not measure the </w:t>
      </w:r>
      <w:r w:rsidR="00073FE9">
        <w:t xml:space="preserve">other </w:t>
      </w:r>
      <w:r w:rsidR="00991187" w:rsidRPr="00991187">
        <w:t>TN frequenc</w:t>
      </w:r>
      <w:r w:rsidR="00073FE9">
        <w:t>ies</w:t>
      </w:r>
      <w:r w:rsidR="00991187" w:rsidRPr="00991187">
        <w:t xml:space="preserve"> </w:t>
      </w:r>
      <w:r>
        <w:t>w/o real deployment in the same area</w:t>
      </w:r>
      <w:r w:rsidR="00991187">
        <w:t xml:space="preserve">. </w:t>
      </w:r>
      <w:r w:rsidR="00991187">
        <w:rPr>
          <w:rFonts w:hint="eastAsia"/>
        </w:rPr>
        <w:t>Take</w:t>
      </w:r>
      <w:r w:rsidR="00991187">
        <w:t xml:space="preserve"> </w:t>
      </w:r>
      <w:r w:rsidR="00991187">
        <w:rPr>
          <w:rFonts w:hint="eastAsia"/>
        </w:rPr>
        <w:t>UE</w:t>
      </w:r>
      <w:r w:rsidR="00991187">
        <w:t xml:space="preserve">2 </w:t>
      </w:r>
      <w:r w:rsidR="00991187">
        <w:rPr>
          <w:rFonts w:hint="eastAsia"/>
        </w:rPr>
        <w:t>in</w:t>
      </w:r>
      <w:r w:rsidR="00991187">
        <w:t xml:space="preserve"> </w:t>
      </w:r>
      <w:r w:rsidR="00991187">
        <w:rPr>
          <w:rFonts w:hint="eastAsia"/>
        </w:rPr>
        <w:t>figure</w:t>
      </w:r>
      <w:r w:rsidR="00991187">
        <w:t xml:space="preserve"> </w:t>
      </w:r>
      <w:r w:rsidR="00DC21C7">
        <w:t>1</w:t>
      </w:r>
      <w:r w:rsidR="00991187">
        <w:t xml:space="preserve"> </w:t>
      </w:r>
      <w:r w:rsidR="00991187">
        <w:rPr>
          <w:rFonts w:hint="eastAsia"/>
        </w:rPr>
        <w:t>as</w:t>
      </w:r>
      <w:r w:rsidR="00991187">
        <w:t xml:space="preserve"> </w:t>
      </w:r>
      <w:r w:rsidR="00991187">
        <w:rPr>
          <w:rFonts w:hint="eastAsia"/>
        </w:rPr>
        <w:t>a</w:t>
      </w:r>
      <w:r w:rsidR="00991187">
        <w:t>n example</w:t>
      </w:r>
      <w:r w:rsidR="0067220B">
        <w:t>:</w:t>
      </w:r>
      <w:r w:rsidR="0067220B" w:rsidRPr="00991187">
        <w:t xml:space="preserve"> </w:t>
      </w:r>
      <w:r w:rsidR="00991187">
        <w:t xml:space="preserve">UE2 is in an area where TN cell on </w:t>
      </w:r>
      <w:r w:rsidR="00991187">
        <w:rPr>
          <w:rFonts w:hint="eastAsia"/>
        </w:rPr>
        <w:t>f</w:t>
      </w:r>
      <w:r w:rsidR="00991187">
        <w:t>3 provides coverage</w:t>
      </w:r>
      <w:r w:rsidR="00FB1F18">
        <w:t>,</w:t>
      </w:r>
      <w:r w:rsidR="00991187">
        <w:t xml:space="preserve"> UE2 only needs to perform measurement </w:t>
      </w:r>
      <w:r w:rsidR="00FB1F18" w:rsidRPr="00FB1F18">
        <w:t xml:space="preserve">TN </w:t>
      </w:r>
      <w:r w:rsidR="00BE7BEB">
        <w:t>neighbour</w:t>
      </w:r>
      <w:r w:rsidR="00FB1F18" w:rsidRPr="00FB1F18">
        <w:t xml:space="preserve"> cells</w:t>
      </w:r>
      <w:r w:rsidR="00FB1F18">
        <w:t xml:space="preserve"> on</w:t>
      </w:r>
      <w:r w:rsidR="00991187">
        <w:t xml:space="preserve"> </w:t>
      </w:r>
      <w:r w:rsidR="00991187">
        <w:rPr>
          <w:rFonts w:hint="eastAsia"/>
        </w:rPr>
        <w:t>f</w:t>
      </w:r>
      <w:r w:rsidR="00991187">
        <w:t xml:space="preserve">3, but is not required to perform measurement </w:t>
      </w:r>
      <w:r w:rsidR="00FB1F18" w:rsidRPr="00FB1F18">
        <w:t xml:space="preserve">TN </w:t>
      </w:r>
      <w:r w:rsidR="00BE7BEB">
        <w:t>neighbour</w:t>
      </w:r>
      <w:r w:rsidR="00FB1F18" w:rsidRPr="00FB1F18">
        <w:t xml:space="preserve"> cells </w:t>
      </w:r>
      <w:r w:rsidR="00991187">
        <w:t xml:space="preserve">on </w:t>
      </w:r>
      <w:r w:rsidR="00991187">
        <w:rPr>
          <w:rFonts w:hint="eastAsia"/>
        </w:rPr>
        <w:t>f</w:t>
      </w:r>
      <w:r w:rsidR="00991187">
        <w:t>1 and f2</w:t>
      </w:r>
      <w:r w:rsidR="00FB1F18">
        <w:t>.</w:t>
      </w:r>
    </w:p>
    <w:p w14:paraId="14BE57C4" w14:textId="6442D9CA" w:rsidR="00965B77" w:rsidRPr="00965B77" w:rsidRDefault="001C3AEA" w:rsidP="00670F8B">
      <w:pPr>
        <w:spacing w:before="240"/>
        <w:jc w:val="center"/>
      </w:pPr>
      <w:r>
        <w:object w:dxaOrig="5791" w:dyaOrig="3061" w14:anchorId="6EEBB9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65pt;height:153.35pt" o:ole="">
            <v:imagedata r:id="rId9" o:title=""/>
          </v:shape>
          <o:OLEObject Type="Embed" ProgID="Visio.Drawing.15" ShapeID="_x0000_i1025" DrawAspect="Content" ObjectID="_1738150429" r:id="rId10"/>
        </w:object>
      </w:r>
    </w:p>
    <w:p w14:paraId="2E93796C" w14:textId="48BF5892" w:rsidR="00965B77" w:rsidRPr="00965B77" w:rsidRDefault="00965B77" w:rsidP="00670F8B">
      <w:pPr>
        <w:jc w:val="center"/>
        <w:rPr>
          <w:rFonts w:ascii="Arial" w:eastAsiaTheme="minorEastAsia" w:hAnsi="Arial"/>
          <w:sz w:val="20"/>
        </w:rPr>
      </w:pPr>
      <w:r>
        <w:rPr>
          <w:rFonts w:ascii="Arial" w:eastAsiaTheme="minorEastAsia" w:hAnsi="Arial"/>
          <w:sz w:val="20"/>
        </w:rPr>
        <w:t xml:space="preserve">Figure </w:t>
      </w:r>
      <w:r w:rsidR="00DC21C7">
        <w:rPr>
          <w:rFonts w:ascii="Arial" w:eastAsiaTheme="minorEastAsia" w:hAnsi="Arial"/>
          <w:sz w:val="20"/>
        </w:rPr>
        <w:t>1</w:t>
      </w:r>
      <w:r>
        <w:rPr>
          <w:rFonts w:ascii="Arial" w:eastAsiaTheme="minorEastAsia" w:hAnsi="Arial"/>
          <w:sz w:val="20"/>
        </w:rPr>
        <w:t xml:space="preserve">: Example of UE camping on NTN cell which </w:t>
      </w:r>
      <w:r w:rsidR="00BF01D3">
        <w:rPr>
          <w:rFonts w:ascii="Arial" w:eastAsiaTheme="minorEastAsia" w:hAnsi="Arial"/>
          <w:sz w:val="20"/>
        </w:rPr>
        <w:t xml:space="preserve">covers </w:t>
      </w:r>
      <w:r>
        <w:rPr>
          <w:rFonts w:ascii="Arial" w:eastAsiaTheme="minorEastAsia" w:hAnsi="Arial"/>
          <w:sz w:val="20"/>
        </w:rPr>
        <w:t xml:space="preserve">TN </w:t>
      </w:r>
      <w:r w:rsidR="00BE7BEB">
        <w:rPr>
          <w:rFonts w:ascii="Arial" w:eastAsiaTheme="minorEastAsia" w:hAnsi="Arial"/>
          <w:sz w:val="20"/>
        </w:rPr>
        <w:t>neighbour</w:t>
      </w:r>
      <w:r>
        <w:rPr>
          <w:rFonts w:ascii="Arial" w:eastAsiaTheme="minorEastAsia" w:hAnsi="Arial"/>
          <w:sz w:val="20"/>
        </w:rPr>
        <w:t xml:space="preserve"> cells</w:t>
      </w:r>
    </w:p>
    <w:p w14:paraId="39990CEB" w14:textId="06CB82B9" w:rsidR="00073FE9" w:rsidRPr="00931C3D" w:rsidRDefault="00073FE9" w:rsidP="002F2D1B">
      <w:pPr>
        <w:spacing w:before="180"/>
        <w:rPr>
          <w:b/>
          <w:bCs/>
        </w:rPr>
      </w:pPr>
      <w:r w:rsidRPr="00931C3D">
        <w:rPr>
          <w:rFonts w:hint="eastAsia"/>
          <w:b/>
          <w:bCs/>
        </w:rPr>
        <w:t>P</w:t>
      </w:r>
      <w:r w:rsidRPr="00931C3D">
        <w:rPr>
          <w:b/>
          <w:bCs/>
        </w:rPr>
        <w:t xml:space="preserve">roposal </w:t>
      </w:r>
      <w:r w:rsidR="00022714">
        <w:rPr>
          <w:b/>
          <w:bCs/>
        </w:rPr>
        <w:t>1</w:t>
      </w:r>
      <w:r w:rsidRPr="00931C3D">
        <w:rPr>
          <w:b/>
          <w:bCs/>
        </w:rPr>
        <w:t>:</w:t>
      </w:r>
      <w:r w:rsidR="000F2071">
        <w:rPr>
          <w:b/>
          <w:bCs/>
        </w:rPr>
        <w:t xml:space="preserve"> For NTN-TN mobility,</w:t>
      </w:r>
      <w:r w:rsidR="00C9375C" w:rsidRPr="00931C3D">
        <w:rPr>
          <w:b/>
          <w:bCs/>
        </w:rPr>
        <w:t xml:space="preserve"> </w:t>
      </w:r>
      <w:r w:rsidR="000F2071">
        <w:rPr>
          <w:b/>
          <w:bCs/>
        </w:rPr>
        <w:t xml:space="preserve">an RRC_IDLE/RRC_INACTIVE </w:t>
      </w:r>
      <w:r w:rsidR="00C9375C" w:rsidRPr="00931C3D">
        <w:rPr>
          <w:b/>
          <w:bCs/>
        </w:rPr>
        <w:t>UE is not required to perform neighbo</w:t>
      </w:r>
      <w:r w:rsidR="00022714">
        <w:rPr>
          <w:b/>
          <w:bCs/>
        </w:rPr>
        <w:t>u</w:t>
      </w:r>
      <w:r w:rsidR="00C9375C" w:rsidRPr="00931C3D">
        <w:rPr>
          <w:b/>
          <w:bCs/>
        </w:rPr>
        <w:t xml:space="preserve">r cell measurements for a TN </w:t>
      </w:r>
      <w:r w:rsidR="00C9375C" w:rsidRPr="00931C3D">
        <w:rPr>
          <w:rFonts w:hint="eastAsia"/>
          <w:b/>
          <w:bCs/>
        </w:rPr>
        <w:t>frequency</w:t>
      </w:r>
      <w:r w:rsidR="00C9375C" w:rsidRPr="00931C3D">
        <w:rPr>
          <w:b/>
          <w:bCs/>
        </w:rPr>
        <w:t xml:space="preserve"> </w:t>
      </w:r>
      <w:r w:rsidR="00931C3D" w:rsidRPr="00931C3D">
        <w:rPr>
          <w:b/>
          <w:bCs/>
        </w:rPr>
        <w:t xml:space="preserve">in </w:t>
      </w:r>
      <w:r w:rsidR="008B2899">
        <w:rPr>
          <w:b/>
          <w:bCs/>
        </w:rPr>
        <w:t>the</w:t>
      </w:r>
      <w:r w:rsidR="008B2899" w:rsidRPr="00931C3D">
        <w:rPr>
          <w:b/>
          <w:bCs/>
        </w:rPr>
        <w:t xml:space="preserve"> </w:t>
      </w:r>
      <w:r w:rsidR="00931C3D" w:rsidRPr="00931C3D">
        <w:rPr>
          <w:b/>
          <w:bCs/>
        </w:rPr>
        <w:t>area</w:t>
      </w:r>
      <w:r w:rsidR="00C9375C" w:rsidRPr="00931C3D">
        <w:rPr>
          <w:b/>
          <w:bCs/>
        </w:rPr>
        <w:t xml:space="preserve"> where there is no coverage of that frequency.</w:t>
      </w:r>
    </w:p>
    <w:p w14:paraId="5F331B39" w14:textId="715D479A" w:rsidR="002F7C58" w:rsidRDefault="00D32AF7" w:rsidP="002F2D1B">
      <w:pPr>
        <w:spacing w:before="180"/>
      </w:pPr>
      <w:r>
        <w:rPr>
          <w:rFonts w:hint="eastAsia"/>
        </w:rPr>
        <w:t>T</w:t>
      </w:r>
      <w:r>
        <w:t xml:space="preserve">he next issue that </w:t>
      </w:r>
      <w:r w:rsidR="006E2270">
        <w:t xml:space="preserve">needs to </w:t>
      </w:r>
      <w:r>
        <w:t xml:space="preserve">be discussed is what </w:t>
      </w:r>
      <w:r w:rsidR="000F2071">
        <w:t xml:space="preserve">specific </w:t>
      </w:r>
      <w:r>
        <w:t xml:space="preserve">assistance information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</w:t>
      </w:r>
      <w:r>
        <w:t xml:space="preserve">e provided by the network for UE decides whether it is </w:t>
      </w:r>
      <w:r w:rsidRPr="00D32AF7">
        <w:t>within/adjacent</w:t>
      </w:r>
      <w:r>
        <w:t xml:space="preserve"> to the TN network coverage</w:t>
      </w:r>
      <w:r w:rsidR="00D86848">
        <w:t>.</w:t>
      </w:r>
      <w:r w:rsidR="006E2270">
        <w:t xml:space="preserve"> For simplic</w:t>
      </w:r>
      <w:r w:rsidR="006E2270">
        <w:rPr>
          <w:rFonts w:hint="eastAsia"/>
        </w:rPr>
        <w:t>i</w:t>
      </w:r>
      <w:r w:rsidR="006E2270">
        <w:t>ty, we think a reference</w:t>
      </w:r>
      <w:r w:rsidR="00613B0B">
        <w:t xml:space="preserve"> </w:t>
      </w:r>
      <w:r w:rsidR="00613B0B">
        <w:rPr>
          <w:rFonts w:hint="eastAsia"/>
        </w:rPr>
        <w:t>location</w:t>
      </w:r>
      <w:r w:rsidR="006E2270">
        <w:t xml:space="preserve"> and </w:t>
      </w:r>
      <w:r w:rsidR="005D224B">
        <w:t xml:space="preserve">a </w:t>
      </w:r>
      <w:r w:rsidR="006E2270">
        <w:t xml:space="preserve">distance threshold can </w:t>
      </w:r>
      <w:r w:rsidR="006B45A4">
        <w:t xml:space="preserve">be used to </w:t>
      </w:r>
      <w:r w:rsidR="006E2270">
        <w:t>d</w:t>
      </w:r>
      <w:r w:rsidR="006B45A4">
        <w:t>e</w:t>
      </w:r>
      <w:r w:rsidR="006E2270">
        <w:t>scribe TN coverage</w:t>
      </w:r>
      <w:r w:rsidR="005D224B">
        <w:t xml:space="preserve"> </w:t>
      </w:r>
      <w:r w:rsidR="005D224B">
        <w:rPr>
          <w:rFonts w:hint="eastAsia"/>
        </w:rPr>
        <w:t>a</w:t>
      </w:r>
      <w:r w:rsidR="005D224B">
        <w:t>t a given frequency</w:t>
      </w:r>
      <w:r w:rsidR="00277811">
        <w:t>.</w:t>
      </w:r>
      <w:r w:rsidR="000F2071">
        <w:t xml:space="preserve"> Compared with other complicated solution</w:t>
      </w:r>
      <w:r w:rsidR="00AB65B5">
        <w:t>s</w:t>
      </w:r>
      <w:r w:rsidR="000F2071">
        <w:t xml:space="preserve">, e.g. providing TN coverage border, this solution is much less complicated and friendly to UE implementation, and due to the irregular </w:t>
      </w:r>
      <w:r w:rsidR="00D75D97">
        <w:t xml:space="preserve">shape of the cell coverage formed by </w:t>
      </w:r>
      <w:r w:rsidR="000F2071">
        <w:t xml:space="preserve">radio </w:t>
      </w:r>
      <w:r w:rsidR="00D75D97">
        <w:t>signals</w:t>
      </w:r>
      <w:r w:rsidR="000F2071">
        <w:t xml:space="preserve">, it is hard to say that the TN coverage border can really be accurately reflected, even </w:t>
      </w:r>
      <w:r w:rsidR="005D224B">
        <w:t xml:space="preserve">though </w:t>
      </w:r>
      <w:r w:rsidR="000F2071">
        <w:t>much more complicated solution is used.</w:t>
      </w:r>
      <w:r w:rsidR="00277811">
        <w:t xml:space="preserve"> Furthermore, in order to save power for the UE that is in the TN area according to </w:t>
      </w:r>
      <w:r w:rsidR="005D224B">
        <w:t>the discussions</w:t>
      </w:r>
      <w:r w:rsidR="000F2071">
        <w:t xml:space="preserve"> above</w:t>
      </w:r>
      <w:r w:rsidR="00D75D97">
        <w:t>,</w:t>
      </w:r>
      <w:r w:rsidR="00114597">
        <w:t xml:space="preserve"> the assistance information can be provided at a </w:t>
      </w:r>
      <w:r w:rsidR="005D224B">
        <w:t xml:space="preserve">per </w:t>
      </w:r>
      <w:r w:rsidR="00114597" w:rsidRPr="00C077D6">
        <w:t>frequency</w:t>
      </w:r>
      <w:r w:rsidR="00114597">
        <w:t xml:space="preserve"> </w:t>
      </w:r>
      <w:r w:rsidR="00114597" w:rsidRPr="00C077D6">
        <w:t>level</w:t>
      </w:r>
      <w:r w:rsidR="005D224B">
        <w:t>, and the UE uses the per frequency assistance information to determine if it is within the TN coverage provided by the corresponding frequency as in Proposal 1</w:t>
      </w:r>
      <w:r w:rsidR="00114597">
        <w:t>.</w:t>
      </w:r>
    </w:p>
    <w:p w14:paraId="471110CA" w14:textId="4B427F2E" w:rsidR="00C06F78" w:rsidRDefault="00114597" w:rsidP="00337DC0">
      <w:pPr>
        <w:spacing w:before="180"/>
        <w:rPr>
          <w:b/>
          <w:bCs/>
        </w:rPr>
      </w:pPr>
      <w:r w:rsidRPr="00337DC0">
        <w:rPr>
          <w:rFonts w:hint="eastAsia"/>
          <w:b/>
          <w:bCs/>
        </w:rPr>
        <w:t>P</w:t>
      </w:r>
      <w:r w:rsidRPr="00337DC0">
        <w:rPr>
          <w:b/>
          <w:bCs/>
        </w:rPr>
        <w:t xml:space="preserve">roposal </w:t>
      </w:r>
      <w:r w:rsidR="00022714">
        <w:rPr>
          <w:b/>
          <w:bCs/>
        </w:rPr>
        <w:t>2</w:t>
      </w:r>
      <w:r w:rsidRPr="00337DC0">
        <w:rPr>
          <w:b/>
          <w:bCs/>
        </w:rPr>
        <w:t xml:space="preserve">: </w:t>
      </w:r>
      <w:r w:rsidR="008B2899">
        <w:rPr>
          <w:b/>
          <w:bCs/>
        </w:rPr>
        <w:t>A r</w:t>
      </w:r>
      <w:r w:rsidRPr="00337DC0">
        <w:rPr>
          <w:b/>
          <w:bCs/>
        </w:rPr>
        <w:t xml:space="preserve">eference </w:t>
      </w:r>
      <w:r w:rsidR="00613B0B">
        <w:rPr>
          <w:rFonts w:hint="eastAsia"/>
          <w:b/>
          <w:bCs/>
        </w:rPr>
        <w:t>location</w:t>
      </w:r>
      <w:r w:rsidRPr="00337DC0">
        <w:rPr>
          <w:b/>
          <w:bCs/>
        </w:rPr>
        <w:t xml:space="preserve"> and </w:t>
      </w:r>
      <w:r w:rsidR="008B2899">
        <w:rPr>
          <w:b/>
          <w:bCs/>
        </w:rPr>
        <w:t xml:space="preserve">a </w:t>
      </w:r>
      <w:r w:rsidRPr="00337DC0">
        <w:rPr>
          <w:b/>
          <w:bCs/>
        </w:rPr>
        <w:t xml:space="preserve">distance threshold can be </w:t>
      </w:r>
      <w:r w:rsidR="00D75D97">
        <w:rPr>
          <w:b/>
          <w:bCs/>
        </w:rPr>
        <w:t>configured</w:t>
      </w:r>
      <w:r w:rsidR="00D75D97" w:rsidRPr="00337DC0">
        <w:rPr>
          <w:b/>
          <w:bCs/>
        </w:rPr>
        <w:t xml:space="preserve"> </w:t>
      </w:r>
      <w:r w:rsidR="00D75D97">
        <w:rPr>
          <w:b/>
          <w:bCs/>
        </w:rPr>
        <w:t>per frequency to indicate the TN coverage provided by the corresponding frequency</w:t>
      </w:r>
      <w:r w:rsidRPr="00337DC0">
        <w:rPr>
          <w:b/>
          <w:bCs/>
        </w:rPr>
        <w:t>.</w:t>
      </w:r>
      <w:bookmarkStart w:id="4" w:name="OLE_LINK6"/>
    </w:p>
    <w:p w14:paraId="2D46A17B" w14:textId="381813A0" w:rsidR="005D224B" w:rsidRDefault="005D224B" w:rsidP="00337DC0">
      <w:pPr>
        <w:spacing w:before="18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AB65B5">
        <w:rPr>
          <w:b/>
          <w:bCs/>
        </w:rPr>
        <w:t>3</w:t>
      </w:r>
      <w:r>
        <w:rPr>
          <w:b/>
          <w:bCs/>
        </w:rPr>
        <w:t>: The UE uses the reference location and the distance threshold configured for a frequency to determine whether it is in the area with TN coverage provided by that frequency.</w:t>
      </w:r>
    </w:p>
    <w:p w14:paraId="18BC3222" w14:textId="08700A96" w:rsidR="00AB65B5" w:rsidRDefault="00B206D1" w:rsidP="00337DC0">
      <w:pPr>
        <w:spacing w:before="180"/>
        <w:rPr>
          <w:bCs/>
        </w:rPr>
      </w:pPr>
      <w:r w:rsidRPr="005F2507">
        <w:rPr>
          <w:bCs/>
        </w:rPr>
        <w:t xml:space="preserve">Regarding the overhead issue discussed in the last meeting, by the signalling design in Proposal 2, a reference location and a distance threshold </w:t>
      </w:r>
      <w:r w:rsidR="005F2507">
        <w:rPr>
          <w:bCs/>
        </w:rPr>
        <w:t xml:space="preserve">are actually used </w:t>
      </w:r>
      <w:r w:rsidRPr="005F2507">
        <w:rPr>
          <w:bCs/>
        </w:rPr>
        <w:t xml:space="preserve">to reflect the </w:t>
      </w:r>
      <w:r w:rsidR="005F2507">
        <w:rPr>
          <w:bCs/>
        </w:rPr>
        <w:t xml:space="preserve">overall </w:t>
      </w:r>
      <w:r w:rsidRPr="005F2507">
        <w:rPr>
          <w:bCs/>
        </w:rPr>
        <w:t xml:space="preserve">TN coverage </w:t>
      </w:r>
      <w:r w:rsidR="005F2507">
        <w:rPr>
          <w:bCs/>
        </w:rPr>
        <w:t>provided together by</w:t>
      </w:r>
      <w:r w:rsidRPr="005F2507">
        <w:rPr>
          <w:bCs/>
        </w:rPr>
        <w:t xml:space="preserve"> a set of (man</w:t>
      </w:r>
      <w:r w:rsidRPr="005F2507">
        <w:rPr>
          <w:rFonts w:hint="eastAsia"/>
          <w:bCs/>
        </w:rPr>
        <w:t>y</w:t>
      </w:r>
      <w:r w:rsidRPr="005F2507">
        <w:rPr>
          <w:bCs/>
        </w:rPr>
        <w:t xml:space="preserve">) cells, because what is needed </w:t>
      </w:r>
      <w:r w:rsidR="005F2507">
        <w:rPr>
          <w:bCs/>
        </w:rPr>
        <w:t xml:space="preserve">here </w:t>
      </w:r>
      <w:r w:rsidRPr="005F2507">
        <w:rPr>
          <w:bCs/>
        </w:rPr>
        <w:t xml:space="preserve">is to reflect the border of the TN coverage for each TN </w:t>
      </w:r>
      <w:r w:rsidR="00AB65B5" w:rsidRPr="005F2507">
        <w:rPr>
          <w:bCs/>
        </w:rPr>
        <w:t>fre</w:t>
      </w:r>
      <w:r w:rsidR="00AB65B5">
        <w:rPr>
          <w:bCs/>
        </w:rPr>
        <w:t>quen</w:t>
      </w:r>
      <w:r w:rsidR="00AB65B5" w:rsidRPr="005F2507">
        <w:rPr>
          <w:bCs/>
        </w:rPr>
        <w:t>cy</w:t>
      </w:r>
      <w:r w:rsidR="005F2507">
        <w:rPr>
          <w:bCs/>
        </w:rPr>
        <w:t>, not individual cell’s coverage,</w:t>
      </w:r>
      <w:r w:rsidRPr="005F2507">
        <w:rPr>
          <w:bCs/>
        </w:rPr>
        <w:t xml:space="preserve"> and these two parameters </w:t>
      </w:r>
      <w:r w:rsidR="005F2507">
        <w:rPr>
          <w:bCs/>
        </w:rPr>
        <w:t>can be</w:t>
      </w:r>
      <w:r w:rsidRPr="005F2507">
        <w:rPr>
          <w:bCs/>
        </w:rPr>
        <w:t xml:space="preserve"> the simplest way to do so as discussed above. </w:t>
      </w:r>
      <w:r w:rsidR="005F2507">
        <w:rPr>
          <w:bCs/>
        </w:rPr>
        <w:t>Hence,</w:t>
      </w:r>
      <w:r w:rsidR="005F2507" w:rsidRPr="005F2507">
        <w:rPr>
          <w:bCs/>
        </w:rPr>
        <w:t xml:space="preserve"> it seems not necessary to introduce more signalling overhead to reflect the TN coverage at </w:t>
      </w:r>
      <w:r w:rsidR="005F2507">
        <w:rPr>
          <w:bCs/>
        </w:rPr>
        <w:t xml:space="preserve">a finer granularity (e.g. at </w:t>
      </w:r>
      <w:r w:rsidR="005F2507" w:rsidRPr="005F2507">
        <w:rPr>
          <w:bCs/>
        </w:rPr>
        <w:t>a per cell level</w:t>
      </w:r>
      <w:r w:rsidR="005F2507">
        <w:rPr>
          <w:bCs/>
        </w:rPr>
        <w:t>)</w:t>
      </w:r>
      <w:r w:rsidR="005F2507" w:rsidRPr="005F2507">
        <w:rPr>
          <w:bCs/>
        </w:rPr>
        <w:t xml:space="preserve">. Considering the only two parameters </w:t>
      </w:r>
      <w:r w:rsidR="005F2507">
        <w:rPr>
          <w:bCs/>
        </w:rPr>
        <w:t xml:space="preserve">per frequency </w:t>
      </w:r>
      <w:r w:rsidR="005F2507" w:rsidRPr="005F2507">
        <w:rPr>
          <w:bCs/>
        </w:rPr>
        <w:t>and the limited number of TN frequencies deployed in a given region, it seems that the signalling overhead led by P</w:t>
      </w:r>
      <w:r w:rsidR="00AB65B5">
        <w:rPr>
          <w:bCs/>
        </w:rPr>
        <w:t xml:space="preserve">roposal </w:t>
      </w:r>
      <w:r w:rsidR="005F2507" w:rsidRPr="005F2507">
        <w:rPr>
          <w:bCs/>
        </w:rPr>
        <w:t xml:space="preserve">2 will not </w:t>
      </w:r>
      <w:r w:rsidR="000823E6">
        <w:rPr>
          <w:bCs/>
        </w:rPr>
        <w:t>be excessively huge</w:t>
      </w:r>
      <w:r w:rsidR="005F2507" w:rsidRPr="005F2507">
        <w:rPr>
          <w:bCs/>
        </w:rPr>
        <w:t>. Certainly, the</w:t>
      </w:r>
      <w:r w:rsidR="005F2507">
        <w:rPr>
          <w:bCs/>
        </w:rPr>
        <w:t xml:space="preserve"> more accurate the</w:t>
      </w:r>
      <w:r w:rsidR="005F2507" w:rsidRPr="005F2507">
        <w:rPr>
          <w:bCs/>
        </w:rPr>
        <w:t xml:space="preserve"> TN coverage is reflected, the more power saving gain may be expected. But we believe such </w:t>
      </w:r>
      <w:proofErr w:type="spellStart"/>
      <w:r w:rsidR="005F2507" w:rsidRPr="005F2507">
        <w:rPr>
          <w:bCs/>
        </w:rPr>
        <w:t>trad</w:t>
      </w:r>
      <w:r w:rsidR="00AB65B5">
        <w:rPr>
          <w:bCs/>
        </w:rPr>
        <w:t>e</w:t>
      </w:r>
      <w:r w:rsidR="005F2507" w:rsidRPr="005F2507">
        <w:rPr>
          <w:bCs/>
        </w:rPr>
        <w:t>off</w:t>
      </w:r>
      <w:proofErr w:type="spellEnd"/>
      <w:r w:rsidR="005F2507" w:rsidRPr="005F2507">
        <w:rPr>
          <w:bCs/>
        </w:rPr>
        <w:t xml:space="preserve"> between performance and signalling overhead can be well handled by </w:t>
      </w:r>
      <w:proofErr w:type="spellStart"/>
      <w:r w:rsidR="005F2507" w:rsidRPr="005F2507">
        <w:rPr>
          <w:bCs/>
        </w:rPr>
        <w:t>gNB</w:t>
      </w:r>
      <w:proofErr w:type="spellEnd"/>
      <w:r w:rsidR="005F2507" w:rsidRPr="005F2507">
        <w:rPr>
          <w:bCs/>
        </w:rPr>
        <w:t xml:space="preserve"> implementation</w:t>
      </w:r>
      <w:r w:rsidR="005F2507">
        <w:rPr>
          <w:bCs/>
        </w:rPr>
        <w:t>.</w:t>
      </w:r>
    </w:p>
    <w:p w14:paraId="47F25F61" w14:textId="1A5DBA2E" w:rsidR="00B82507" w:rsidRPr="00B82507" w:rsidRDefault="00B82507" w:rsidP="00337DC0">
      <w:pPr>
        <w:spacing w:before="180"/>
        <w:rPr>
          <w:b/>
          <w:bCs/>
        </w:rPr>
      </w:pPr>
      <w:r w:rsidRPr="00B82507">
        <w:rPr>
          <w:rFonts w:hint="eastAsia"/>
          <w:b/>
          <w:bCs/>
        </w:rPr>
        <w:t>O</w:t>
      </w:r>
      <w:r w:rsidRPr="00B82507">
        <w:rPr>
          <w:b/>
          <w:bCs/>
        </w:rPr>
        <w:t xml:space="preserve">bservation 1: With the signalling design in Proposal 2, the signalling overhead </w:t>
      </w:r>
      <w:r>
        <w:rPr>
          <w:b/>
          <w:bCs/>
        </w:rPr>
        <w:t>caused to</w:t>
      </w:r>
      <w:r w:rsidRPr="00B82507">
        <w:rPr>
          <w:b/>
          <w:bCs/>
        </w:rPr>
        <w:t xml:space="preserve"> an NTN cell is not expected to be excessively huge, with an acceptable TN coverage accuracy at a per frequency level.</w:t>
      </w:r>
    </w:p>
    <w:p w14:paraId="0906A037" w14:textId="4D52E180" w:rsidR="00DC21C7" w:rsidRDefault="00DC21C7" w:rsidP="00337DC0">
      <w:pPr>
        <w:spacing w:before="180"/>
      </w:pPr>
      <w:r w:rsidRPr="00DC21C7">
        <w:rPr>
          <w:rFonts w:hint="eastAsia"/>
        </w:rPr>
        <w:t>A</w:t>
      </w:r>
      <w:r w:rsidRPr="00DC21C7">
        <w:t>nother issue</w:t>
      </w:r>
      <w:r>
        <w:t xml:space="preserve"> left in the last meeting is whether explicit indication or implicit information can be relied on to </w:t>
      </w:r>
      <w:r w:rsidRPr="00DC21C7">
        <w:t>identify TN cells from inter-frequency list and inter-RAT frequency list</w:t>
      </w:r>
      <w:r>
        <w:t>. In our understanding,</w:t>
      </w:r>
      <w:r w:rsidR="00A87BDA">
        <w:t xml:space="preserve"> if the assistance </w:t>
      </w:r>
      <w:r w:rsidR="00A87BDA">
        <w:lastRenderedPageBreak/>
        <w:t>information is configured per frequency, t</w:t>
      </w:r>
      <w:r w:rsidR="00A87BDA" w:rsidRPr="00A87BDA">
        <w:t xml:space="preserve">he UE can </w:t>
      </w:r>
      <w:r w:rsidR="00DA4942">
        <w:t xml:space="preserve">simply </w:t>
      </w:r>
      <w:r w:rsidR="00A87BDA" w:rsidRPr="00A87BDA">
        <w:t xml:space="preserve">determine that the </w:t>
      </w:r>
      <w:r w:rsidR="00DA4942">
        <w:t xml:space="preserve">if a </w:t>
      </w:r>
      <w:r w:rsidR="00A87BDA" w:rsidRPr="00A87BDA">
        <w:t xml:space="preserve">frequency </w:t>
      </w:r>
      <w:r w:rsidR="00DA4942">
        <w:t xml:space="preserve">is </w:t>
      </w:r>
      <w:r w:rsidR="00A87BDA" w:rsidRPr="00A87BDA">
        <w:t xml:space="preserve">associated with </w:t>
      </w:r>
      <w:r w:rsidR="00DA4942">
        <w:t>such</w:t>
      </w:r>
      <w:r w:rsidR="00DA4942" w:rsidRPr="00A87BDA">
        <w:t xml:space="preserve"> </w:t>
      </w:r>
      <w:r w:rsidR="00A87BDA">
        <w:t>assistance</w:t>
      </w:r>
      <w:r w:rsidR="00A87BDA" w:rsidRPr="00A87BDA">
        <w:t xml:space="preserve"> information </w:t>
      </w:r>
      <w:r w:rsidR="00DA4942">
        <w:t xml:space="preserve">for NTN-TN mobility, this frequency </w:t>
      </w:r>
      <w:r w:rsidR="00A87BDA" w:rsidRPr="00A87BDA">
        <w:t xml:space="preserve">is </w:t>
      </w:r>
      <w:r w:rsidR="00DA4942">
        <w:t xml:space="preserve">a </w:t>
      </w:r>
      <w:r w:rsidR="00A87BDA" w:rsidRPr="00A87BDA">
        <w:t xml:space="preserve">TN frequency and </w:t>
      </w:r>
      <w:r w:rsidR="00DA4942">
        <w:t xml:space="preserve">there are TN </w:t>
      </w:r>
      <w:r w:rsidR="00A87BDA" w:rsidRPr="00A87BDA">
        <w:t>cell</w:t>
      </w:r>
      <w:r w:rsidR="00DA4942">
        <w:t>s</w:t>
      </w:r>
      <w:r w:rsidR="00A87BDA">
        <w:t xml:space="preserve"> deployed on</w:t>
      </w:r>
      <w:r w:rsidR="00A87BDA" w:rsidRPr="00A87BDA">
        <w:t xml:space="preserve"> this frequency</w:t>
      </w:r>
      <w:r w:rsidR="00A87BDA">
        <w:t xml:space="preserve">. Thus, an </w:t>
      </w:r>
      <w:r w:rsidR="00A87BDA" w:rsidRPr="00A87BDA">
        <w:t>explicit indication to identify TN cells from inter-frequency list and inter-RAT frequency list is not needed.</w:t>
      </w:r>
    </w:p>
    <w:p w14:paraId="2CA8BB46" w14:textId="24AF4957" w:rsidR="00A87BDA" w:rsidRPr="00A87BDA" w:rsidRDefault="00A87BDA" w:rsidP="00337DC0">
      <w:pPr>
        <w:spacing w:before="180"/>
        <w:rPr>
          <w:b/>
          <w:bCs/>
        </w:rPr>
      </w:pPr>
      <w:r w:rsidRPr="00A87BDA">
        <w:rPr>
          <w:b/>
          <w:bCs/>
        </w:rPr>
        <w:t xml:space="preserve">Proposal </w:t>
      </w:r>
      <w:r w:rsidR="00AB65B5">
        <w:rPr>
          <w:b/>
          <w:bCs/>
        </w:rPr>
        <w:t>4</w:t>
      </w:r>
      <w:r w:rsidRPr="00A87BDA">
        <w:rPr>
          <w:b/>
          <w:bCs/>
        </w:rPr>
        <w:t xml:space="preserve">: An </w:t>
      </w:r>
      <w:r w:rsidRPr="00A87BDA">
        <w:rPr>
          <w:rFonts w:hint="eastAsia"/>
          <w:b/>
          <w:bCs/>
        </w:rPr>
        <w:t>e</w:t>
      </w:r>
      <w:r w:rsidRPr="00A87BDA">
        <w:rPr>
          <w:b/>
          <w:bCs/>
        </w:rPr>
        <w:t>xplicit indication to identify TN cells from inter-frequency list and inter-RAT frequency list is not needed.</w:t>
      </w:r>
    </w:p>
    <w:bookmarkEnd w:id="4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04B391B3" w:rsidR="00A775EE" w:rsidRDefault="007631FF">
      <w:pPr>
        <w:rPr>
          <w:bCs/>
        </w:rPr>
      </w:pPr>
      <w:bookmarkStart w:id="5" w:name="_Toc502437832"/>
      <w:r w:rsidRPr="007631FF">
        <w:rPr>
          <w:bCs/>
        </w:rPr>
        <w:t xml:space="preserve">Based on the analyses given above, we have the following </w:t>
      </w:r>
      <w:r w:rsidR="00AB65B5">
        <w:rPr>
          <w:bCs/>
        </w:rPr>
        <w:t xml:space="preserve">observations </w:t>
      </w:r>
      <w:r w:rsidR="00022714">
        <w:rPr>
          <w:bCs/>
        </w:rPr>
        <w:t xml:space="preserve">and </w:t>
      </w:r>
      <w:r w:rsidRPr="007631FF">
        <w:rPr>
          <w:bCs/>
        </w:rPr>
        <w:t>proposals:</w:t>
      </w:r>
    </w:p>
    <w:p w14:paraId="25FC7152" w14:textId="77777777" w:rsidR="00E01540" w:rsidRPr="00B82507" w:rsidRDefault="00E01540" w:rsidP="00E01540">
      <w:pPr>
        <w:spacing w:before="180"/>
        <w:rPr>
          <w:b/>
          <w:bCs/>
        </w:rPr>
      </w:pPr>
      <w:r w:rsidRPr="00B82507">
        <w:rPr>
          <w:rFonts w:hint="eastAsia"/>
          <w:b/>
          <w:bCs/>
        </w:rPr>
        <w:t>O</w:t>
      </w:r>
      <w:r w:rsidRPr="00B82507">
        <w:rPr>
          <w:b/>
          <w:bCs/>
        </w:rPr>
        <w:t xml:space="preserve">bservation 1: With the signalling design in Proposal 2, the signalling overhead </w:t>
      </w:r>
      <w:r>
        <w:rPr>
          <w:b/>
          <w:bCs/>
        </w:rPr>
        <w:t>caused to</w:t>
      </w:r>
      <w:r w:rsidRPr="00B82507">
        <w:rPr>
          <w:b/>
          <w:bCs/>
        </w:rPr>
        <w:t xml:space="preserve"> an NTN cell is not expected to be excessively huge, with an acceptable TN coverage accuracy at a per frequency level.</w:t>
      </w:r>
    </w:p>
    <w:p w14:paraId="2545AF32" w14:textId="77777777" w:rsidR="00E01540" w:rsidRPr="00931C3D" w:rsidRDefault="00E01540" w:rsidP="00E01540">
      <w:pPr>
        <w:spacing w:before="180"/>
        <w:rPr>
          <w:b/>
          <w:bCs/>
        </w:rPr>
      </w:pPr>
      <w:r w:rsidRPr="00931C3D">
        <w:rPr>
          <w:rFonts w:hint="eastAsia"/>
          <w:b/>
          <w:bCs/>
        </w:rPr>
        <w:t>P</w:t>
      </w:r>
      <w:r w:rsidRPr="00931C3D">
        <w:rPr>
          <w:b/>
          <w:bCs/>
        </w:rPr>
        <w:t xml:space="preserve">roposal </w:t>
      </w:r>
      <w:r>
        <w:rPr>
          <w:b/>
          <w:bCs/>
        </w:rPr>
        <w:t>1</w:t>
      </w:r>
      <w:r w:rsidRPr="00931C3D">
        <w:rPr>
          <w:b/>
          <w:bCs/>
        </w:rPr>
        <w:t>:</w:t>
      </w:r>
      <w:r>
        <w:rPr>
          <w:b/>
          <w:bCs/>
        </w:rPr>
        <w:t xml:space="preserve"> For NTN-TN mobility,</w:t>
      </w:r>
      <w:r w:rsidRPr="00931C3D">
        <w:rPr>
          <w:b/>
          <w:bCs/>
        </w:rPr>
        <w:t xml:space="preserve"> </w:t>
      </w:r>
      <w:r>
        <w:rPr>
          <w:b/>
          <w:bCs/>
        </w:rPr>
        <w:t xml:space="preserve">an RRC_IDLE/RRC_INACTIVE </w:t>
      </w:r>
      <w:r w:rsidRPr="00931C3D">
        <w:rPr>
          <w:b/>
          <w:bCs/>
        </w:rPr>
        <w:t>UE is not required to perform neighbo</w:t>
      </w:r>
      <w:r>
        <w:rPr>
          <w:b/>
          <w:bCs/>
        </w:rPr>
        <w:t>u</w:t>
      </w:r>
      <w:r w:rsidRPr="00931C3D">
        <w:rPr>
          <w:b/>
          <w:bCs/>
        </w:rPr>
        <w:t xml:space="preserve">r cell measurements for a TN </w:t>
      </w:r>
      <w:r w:rsidRPr="00931C3D">
        <w:rPr>
          <w:rFonts w:hint="eastAsia"/>
          <w:b/>
          <w:bCs/>
        </w:rPr>
        <w:t>frequency</w:t>
      </w:r>
      <w:r w:rsidRPr="00931C3D">
        <w:rPr>
          <w:b/>
          <w:bCs/>
        </w:rPr>
        <w:t xml:space="preserve"> in </w:t>
      </w:r>
      <w:r>
        <w:rPr>
          <w:b/>
          <w:bCs/>
        </w:rPr>
        <w:t>the</w:t>
      </w:r>
      <w:r w:rsidRPr="00931C3D">
        <w:rPr>
          <w:b/>
          <w:bCs/>
        </w:rPr>
        <w:t xml:space="preserve"> area where there is no coverage of that frequency.</w:t>
      </w:r>
    </w:p>
    <w:p w14:paraId="7D5ED306" w14:textId="07E1A1A3" w:rsidR="00E01540" w:rsidRDefault="00E01540" w:rsidP="00E01540">
      <w:pPr>
        <w:spacing w:before="180"/>
        <w:rPr>
          <w:b/>
          <w:bCs/>
        </w:rPr>
      </w:pPr>
      <w:r w:rsidRPr="00337DC0">
        <w:rPr>
          <w:rFonts w:hint="eastAsia"/>
          <w:b/>
          <w:bCs/>
        </w:rPr>
        <w:t>P</w:t>
      </w:r>
      <w:r w:rsidRPr="00337DC0">
        <w:rPr>
          <w:b/>
          <w:bCs/>
        </w:rPr>
        <w:t xml:space="preserve">roposal </w:t>
      </w:r>
      <w:r>
        <w:rPr>
          <w:b/>
          <w:bCs/>
        </w:rPr>
        <w:t>2</w:t>
      </w:r>
      <w:r w:rsidRPr="00337DC0">
        <w:rPr>
          <w:b/>
          <w:bCs/>
        </w:rPr>
        <w:t xml:space="preserve">: </w:t>
      </w:r>
      <w:r>
        <w:rPr>
          <w:b/>
          <w:bCs/>
        </w:rPr>
        <w:t>A r</w:t>
      </w:r>
      <w:r w:rsidRPr="00337DC0">
        <w:rPr>
          <w:b/>
          <w:bCs/>
        </w:rPr>
        <w:t xml:space="preserve">eference </w:t>
      </w:r>
      <w:r>
        <w:rPr>
          <w:rFonts w:hint="eastAsia"/>
          <w:b/>
          <w:bCs/>
        </w:rPr>
        <w:t>location</w:t>
      </w:r>
      <w:r w:rsidRPr="00337DC0">
        <w:rPr>
          <w:b/>
          <w:bCs/>
        </w:rPr>
        <w:t xml:space="preserve"> and </w:t>
      </w:r>
      <w:r>
        <w:rPr>
          <w:b/>
          <w:bCs/>
        </w:rPr>
        <w:t xml:space="preserve">a </w:t>
      </w:r>
      <w:r w:rsidRPr="00337DC0">
        <w:rPr>
          <w:b/>
          <w:bCs/>
        </w:rPr>
        <w:t xml:space="preserve">distance threshold can be </w:t>
      </w:r>
      <w:r>
        <w:rPr>
          <w:b/>
          <w:bCs/>
        </w:rPr>
        <w:t>configured</w:t>
      </w:r>
      <w:r w:rsidRPr="00337DC0">
        <w:rPr>
          <w:b/>
          <w:bCs/>
        </w:rPr>
        <w:t xml:space="preserve"> </w:t>
      </w:r>
      <w:r>
        <w:rPr>
          <w:b/>
          <w:bCs/>
        </w:rPr>
        <w:t>per frequency to indicate the TN coverage provided by the corresponding frequency</w:t>
      </w:r>
      <w:r w:rsidRPr="00337DC0">
        <w:rPr>
          <w:b/>
          <w:bCs/>
        </w:rPr>
        <w:t>.</w:t>
      </w:r>
    </w:p>
    <w:p w14:paraId="39D2806C" w14:textId="069542F8" w:rsidR="00E01540" w:rsidRDefault="00E01540" w:rsidP="00E01540">
      <w:pPr>
        <w:spacing w:before="18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AB65B5">
        <w:rPr>
          <w:b/>
          <w:bCs/>
        </w:rPr>
        <w:t>3</w:t>
      </w:r>
      <w:r>
        <w:rPr>
          <w:b/>
          <w:bCs/>
        </w:rPr>
        <w:t>: The UE uses the reference location and the distance threshold configured for a frequency to determine whether it is in the area with TN coverage provided by that frequency.</w:t>
      </w:r>
    </w:p>
    <w:p w14:paraId="5AFDB3EA" w14:textId="2736D373" w:rsidR="00D735FA" w:rsidRPr="00A87BDA" w:rsidRDefault="00E01540" w:rsidP="00E01540">
      <w:pPr>
        <w:spacing w:before="180"/>
        <w:rPr>
          <w:b/>
          <w:bCs/>
        </w:rPr>
      </w:pPr>
      <w:r w:rsidRPr="00A87BDA">
        <w:rPr>
          <w:b/>
          <w:bCs/>
        </w:rPr>
        <w:t xml:space="preserve">Proposal </w:t>
      </w:r>
      <w:r w:rsidR="00AB65B5">
        <w:rPr>
          <w:b/>
          <w:bCs/>
        </w:rPr>
        <w:t>4</w:t>
      </w:r>
      <w:r w:rsidRPr="00A87BDA">
        <w:rPr>
          <w:b/>
          <w:bCs/>
        </w:rPr>
        <w:t xml:space="preserve">: An </w:t>
      </w:r>
      <w:r w:rsidRPr="00A87BDA">
        <w:rPr>
          <w:rFonts w:hint="eastAsia"/>
          <w:b/>
          <w:bCs/>
        </w:rPr>
        <w:t>e</w:t>
      </w:r>
      <w:r w:rsidRPr="00A87BDA">
        <w:rPr>
          <w:b/>
          <w:bCs/>
        </w:rPr>
        <w:t>xplicit indication to identify TN cells from inter-frequency list and inter-RAT frequency list is not needed.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5"/>
    <w:p w14:paraId="33719843" w14:textId="31E37CA5" w:rsidR="00D9230E" w:rsidRDefault="009D6F2D" w:rsidP="00A87BDA">
      <w:pPr>
        <w:numPr>
          <w:ilvl w:val="0"/>
          <w:numId w:val="12"/>
        </w:numPr>
      </w:pPr>
      <w:r w:rsidRPr="009D6F2D">
        <w:t>Report of 3GPP TSG RAN WG2 meeting #1</w:t>
      </w:r>
      <w:r w:rsidR="00012B33">
        <w:t>20</w:t>
      </w:r>
    </w:p>
    <w:p w14:paraId="639D6A1D" w14:textId="5FAE23B5" w:rsidR="00BF01D3" w:rsidRDefault="00BF01D3" w:rsidP="00BF01D3">
      <w:pPr>
        <w:numPr>
          <w:ilvl w:val="0"/>
          <w:numId w:val="12"/>
        </w:numPr>
      </w:pPr>
      <w:r w:rsidRPr="009D6F2D">
        <w:t>Report of 3GPP TSG RAN WG2 meeting #1</w:t>
      </w:r>
      <w:r>
        <w:t>19bis-e</w:t>
      </w:r>
    </w:p>
    <w:p w14:paraId="7F31913E" w14:textId="77777777" w:rsidR="00BF01D3" w:rsidRPr="00A87BDA" w:rsidRDefault="00BF01D3" w:rsidP="00BF01D3">
      <w:pPr>
        <w:rPr>
          <w:rStyle w:val="af5"/>
          <w:color w:val="auto"/>
          <w:u w:val="none"/>
        </w:rPr>
      </w:pPr>
    </w:p>
    <w:sectPr w:rsidR="00BF01D3" w:rsidRPr="00A87BDA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2E5EC" w14:textId="77777777" w:rsidR="000475C4" w:rsidRDefault="000475C4">
      <w:pPr>
        <w:spacing w:after="0" w:line="240" w:lineRule="auto"/>
      </w:pPr>
      <w:r>
        <w:separator/>
      </w:r>
    </w:p>
  </w:endnote>
  <w:endnote w:type="continuationSeparator" w:id="0">
    <w:p w14:paraId="203495B2" w14:textId="77777777" w:rsidR="000475C4" w:rsidRDefault="0004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93FB4" w14:textId="77777777" w:rsidR="000475C4" w:rsidRDefault="000475C4">
      <w:pPr>
        <w:spacing w:after="0" w:line="240" w:lineRule="auto"/>
      </w:pPr>
      <w:r>
        <w:separator/>
      </w:r>
    </w:p>
  </w:footnote>
  <w:footnote w:type="continuationSeparator" w:id="0">
    <w:p w14:paraId="4DC66DE7" w14:textId="77777777" w:rsidR="000475C4" w:rsidRDefault="00047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8519CE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5A5141B"/>
    <w:multiLevelType w:val="hybridMultilevel"/>
    <w:tmpl w:val="437AFB80"/>
    <w:lvl w:ilvl="0" w:tplc="FFFFFFF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6F2714A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31892"/>
    <w:multiLevelType w:val="hybridMultilevel"/>
    <w:tmpl w:val="437AFB8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AE81CCA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7483ABE"/>
    <w:multiLevelType w:val="hybridMultilevel"/>
    <w:tmpl w:val="75129B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64B746B"/>
    <w:multiLevelType w:val="hybridMultilevel"/>
    <w:tmpl w:val="F976B1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241CF9"/>
    <w:multiLevelType w:val="hybridMultilevel"/>
    <w:tmpl w:val="40CC4F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31A4F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8"/>
  </w:num>
  <w:num w:numId="3">
    <w:abstractNumId w:val="22"/>
  </w:num>
  <w:num w:numId="4">
    <w:abstractNumId w:val="8"/>
  </w:num>
  <w:num w:numId="5">
    <w:abstractNumId w:val="16"/>
  </w:num>
  <w:num w:numId="6">
    <w:abstractNumId w:val="31"/>
  </w:num>
  <w:num w:numId="7">
    <w:abstractNumId w:val="24"/>
  </w:num>
  <w:num w:numId="8">
    <w:abstractNumId w:val="30"/>
  </w:num>
  <w:num w:numId="9">
    <w:abstractNumId w:val="32"/>
  </w:num>
  <w:num w:numId="10">
    <w:abstractNumId w:val="9"/>
  </w:num>
  <w:num w:numId="11">
    <w:abstractNumId w:val="1"/>
  </w:num>
  <w:num w:numId="12">
    <w:abstractNumId w:val="0"/>
  </w:num>
  <w:num w:numId="13">
    <w:abstractNumId w:val="4"/>
  </w:num>
  <w:num w:numId="14">
    <w:abstractNumId w:val="4"/>
  </w:num>
  <w:num w:numId="15">
    <w:abstractNumId w:val="28"/>
  </w:num>
  <w:num w:numId="16">
    <w:abstractNumId w:val="27"/>
  </w:num>
  <w:num w:numId="17">
    <w:abstractNumId w:val="18"/>
  </w:num>
  <w:num w:numId="18">
    <w:abstractNumId w:val="23"/>
  </w:num>
  <w:num w:numId="19">
    <w:abstractNumId w:val="15"/>
  </w:num>
  <w:num w:numId="20">
    <w:abstractNumId w:val="2"/>
  </w:num>
  <w:num w:numId="21">
    <w:abstractNumId w:val="13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9"/>
  </w:num>
  <w:num w:numId="25">
    <w:abstractNumId w:val="34"/>
  </w:num>
  <w:num w:numId="26">
    <w:abstractNumId w:val="10"/>
  </w:num>
  <w:num w:numId="27">
    <w:abstractNumId w:val="17"/>
  </w:num>
  <w:num w:numId="28">
    <w:abstractNumId w:val="21"/>
  </w:num>
  <w:num w:numId="29">
    <w:abstractNumId w:val="35"/>
  </w:num>
  <w:num w:numId="30">
    <w:abstractNumId w:val="37"/>
  </w:num>
  <w:num w:numId="31">
    <w:abstractNumId w:val="33"/>
  </w:num>
  <w:num w:numId="32">
    <w:abstractNumId w:val="26"/>
  </w:num>
  <w:num w:numId="33">
    <w:abstractNumId w:val="36"/>
  </w:num>
  <w:num w:numId="34">
    <w:abstractNumId w:val="4"/>
  </w:num>
  <w:num w:numId="35">
    <w:abstractNumId w:val="4"/>
  </w:num>
  <w:num w:numId="36">
    <w:abstractNumId w:val="20"/>
  </w:num>
  <w:num w:numId="37">
    <w:abstractNumId w:val="11"/>
  </w:num>
  <w:num w:numId="38">
    <w:abstractNumId w:val="14"/>
  </w:num>
  <w:num w:numId="39">
    <w:abstractNumId w:val="6"/>
  </w:num>
  <w:num w:numId="40">
    <w:abstractNumId w:val="12"/>
  </w:num>
  <w:num w:numId="41">
    <w:abstractNumId w:val="39"/>
  </w:num>
  <w:num w:numId="42">
    <w:abstractNumId w:val="5"/>
  </w:num>
  <w:num w:numId="43">
    <w:abstractNumId w:val="38"/>
  </w:num>
  <w:num w:numId="44">
    <w:abstractNumId w:val="19"/>
  </w:num>
  <w:num w:numId="45">
    <w:abstractNumId w:val="7"/>
  </w:num>
  <w:num w:numId="46">
    <w:abstractNumId w:val="4"/>
  </w:num>
  <w:num w:numId="47">
    <w:abstractNumId w:val="4"/>
  </w:num>
  <w:num w:numId="48">
    <w:abstractNumId w:val="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ODWgCQPr+6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5C4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763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2D5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70133"/>
    <w:rsid w:val="0017013D"/>
    <w:rsid w:val="0017025A"/>
    <w:rsid w:val="001706B4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62F7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10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32C"/>
    <w:rsid w:val="004C05D5"/>
    <w:rsid w:val="004C07CE"/>
    <w:rsid w:val="004C0EA7"/>
    <w:rsid w:val="004C1433"/>
    <w:rsid w:val="004C15F8"/>
    <w:rsid w:val="004C1678"/>
    <w:rsid w:val="004C1978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E7E2C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1CA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C0E"/>
    <w:rsid w:val="005A3F14"/>
    <w:rsid w:val="005A403B"/>
    <w:rsid w:val="005A4398"/>
    <w:rsid w:val="005A4774"/>
    <w:rsid w:val="005A47A2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24B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1DD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20B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0A6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1FA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55B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6BE"/>
    <w:rsid w:val="00B57C43"/>
    <w:rsid w:val="00B57EAE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289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275"/>
    <w:rsid w:val="00BB6D28"/>
    <w:rsid w:val="00BB6F80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4A7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AD8"/>
    <w:rsid w:val="00DA2CC2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6FC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2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71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EA4AF-754F-40F4-B995-E42E85C4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1065</Words>
  <Characters>6074</Characters>
  <Application>Microsoft Office Word</Application>
  <DocSecurity>0</DocSecurity>
  <Lines>50</Lines>
  <Paragraphs>14</Paragraphs>
  <ScaleCrop>false</ScaleCrop>
  <Company>OPPO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(Xiaox)_20230216</cp:lastModifiedBy>
  <cp:revision>5</cp:revision>
  <cp:lastPrinted>2018-04-04T09:40:00Z</cp:lastPrinted>
  <dcterms:created xsi:type="dcterms:W3CDTF">2023-02-16T06:23:00Z</dcterms:created>
  <dcterms:modified xsi:type="dcterms:W3CDTF">2023-02-17T06:47:00Z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